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84838016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611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Fica o Poder Executivo autorizado a contratar os serviços da </w:t>
      </w:r>
      <w:r>
        <w:rPr>
          <w:rFonts w:eastAsia="Times New Roman" w:cs="Times New Roman" w:ascii="Times New Roman" w:hAnsi="Times New Roman"/>
          <w:sz w:val="28"/>
          <w:szCs w:val="20"/>
          <w:u w:val="single"/>
          <w:lang w:eastAsia="pt-BR"/>
        </w:rPr>
        <w:t>Promotoria e Assistência Administrativa Limitada – Relvam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; com sede em Brasília, Distrito Federal, a fim de que, mediante procuração, trate de interesse deste município junto aos Ministérios e Orgãos Federais.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 ° 2º – As despesas no valor de CR$ 1.500,00 (Hum mil e quinhentos cruzeiros) decorrentes do artigo anterior, correrão por conta da verba  Gabinete do Prefeito 3.0.0.0 Despesas Correntes  3.1.0.0 Despesa de Custeio 3.1.3.0.0.3 Serviços de Terceiros 16 – Outros serviços de Terceiros.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Está Lei entrará em vigor na data de sua aprovação, revogada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15 de dezembro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Mario Fon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s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LibreOffice/6.0.4.2$Windows_X86_64 LibreOffice_project/9b0d9b32d5dcda91d2f1a96dc04c645c450872bf</Application>
  <Pages>1</Pages>
  <Words>154</Words>
  <Characters>856</Characters>
  <CharactersWithSpaces>1273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2018-11-14T14:50:22Z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