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134125835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610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1º – Fica o Poder Executivo autorizado a vender por concorrência Pública, a caçamba – basculante retirada do caminhão nº 5 que teve seu chassi transformado para possibilitar a montagem de carroceria própria para o transporte de carne.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§ 1º  O preço mínimo da caçamba – basculante é cotado em CR$ 1.000,00 (Hum mil cruzeiros).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§ 2º – O município receberá o valor estipulado no parágrafo anterior, à vista, em moeda corrente ou poderá aceitar como pagamento peças ou acessórios úteis aos veículos da frota municipal, desde que testados e avaliados por pessoas idôneas. 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2º – Está Lei entrará em vigor na data de sua publicação, revogada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15 de dezembro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LibreOffice/6.0.4.2$Windows_X86_64 LibreOffice_project/9b0d9b32d5dcda91d2f1a96dc04c645c450872bf</Application>
  <Pages>1</Pages>
  <Words>161</Words>
  <Characters>855</Characters>
  <CharactersWithSpaces>1279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2018-11-14T14:50:38Z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