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762069129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602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criada, anexa a Biblioteca Municipal uma </w:t>
      </w:r>
      <w:r>
        <w:rPr>
          <w:rFonts w:eastAsia="Times New Roman" w:cs="Times New Roman" w:ascii="Times New Roman" w:hAnsi="Times New Roman"/>
          <w:sz w:val="28"/>
          <w:szCs w:val="20"/>
          <w:u w:val="single"/>
          <w:lang w:eastAsia="pt-BR"/>
        </w:rPr>
        <w:t>Sala de Leitura,</w:t>
      </w:r>
      <w:r>
        <w:rPr>
          <w:rFonts w:eastAsia="Times New Roman" w:cs="Times New Roman" w:ascii="Times New Roman" w:hAnsi="Times New Roman"/>
          <w:sz w:val="28"/>
          <w:szCs w:val="20"/>
          <w:u w:val="none"/>
          <w:lang w:eastAsia="pt-BR"/>
        </w:rPr>
        <w:t xml:space="preserve"> cuja organização, instalação e manutenção se fará mediante convênio a ser firmado com o Instituto Nacional do Livro.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2º – Para despesas decorrentes da aquisição de “Estantes, mesas, cadeiras e demais materiais de caráter permanente, indispensáveis a existência da Sala de Leitura, o Poder Executivo em tempo hábil, solicitará o crédito Especial necessário, se a instalação ocorrer no presente exercício, ou então, designará verba própria no Orçamento para o exercício vindouro.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publicação,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LibreOffice/6.0.4.2$Windows_X86_64 LibreOffice_project/9b0d9b32d5dcda91d2f1a96dc04c645c450872bf</Application>
  <Pages>1</Pages>
  <Words>153</Words>
  <Characters>852</Characters>
  <CharactersWithSpaces>1265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