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b/>
        <w:tab/>
        <w:t xml:space="preserve">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tbl>
      <w:tblPr>
        <w:tblW w:w="8505" w:type="dxa"/>
        <w:jc w:val="left"/>
        <w:tblInd w:w="0" w:type="dxa"/>
        <w:tblBorders/>
        <w:tblCellMar>
          <w:top w:w="0" w:type="dxa"/>
          <w:left w:w="108" w:type="dxa"/>
          <w:bottom w:w="0" w:type="dxa"/>
          <w:right w:w="108" w:type="dxa"/>
        </w:tblCellMar>
        <w:tblLook w:firstRow="1" w:noVBand="0" w:lastRow="1" w:firstColumn="1" w:lastColumn="1" w:noHBand="0" w:val="01e0"/>
      </w:tblPr>
      <w:tblGrid>
        <w:gridCol w:w="1905"/>
        <w:gridCol w:w="6599"/>
      </w:tblGrid>
      <w:tr>
        <w:trPr>
          <w:trHeight w:val="1848" w:hRule="atLeast"/>
        </w:trPr>
        <w:tc>
          <w:tcPr>
            <w:tcW w:w="1905" w:type="dxa"/>
            <w:tcBorders/>
            <w:shd w:fill="auto" w:val="clear"/>
          </w:tcPr>
          <w:p>
            <w:pPr>
              <w:pStyle w:val="Normal"/>
              <w:spacing w:lineRule="auto" w:line="240" w:before="0" w:after="0"/>
              <w:jc w:val="center"/>
              <w:rPr>
                <w:rFonts w:ascii="Monotype Corsiva" w:hAnsi="Monotype Corsiva" w:eastAsia="Times New Roman" w:cs="Times New Roman"/>
                <w:bCs/>
                <w:i/>
                <w:i/>
                <w:sz w:val="36"/>
                <w:szCs w:val="20"/>
                <w:lang w:eastAsia="pt-BR"/>
              </w:rPr>
            </w:pPr>
            <w:r>
              <w:rPr/>
              <w:object>
                <v:shape id="ole_rId2" style="width:83.25pt;height:91.5pt" o:ole="">
                  <v:imagedata r:id="rId3" o:title=""/>
                </v:shape>
                <o:OLEObject Type="Embed" ProgID="PBrush" ShapeID="ole_rId2" DrawAspect="Content" ObjectID="_1297867953" r:id="rId2"/>
              </w:object>
            </w:r>
          </w:p>
        </w:tc>
        <w:tc>
          <w:tcPr>
            <w:tcW w:w="6599" w:type="dxa"/>
            <w:tcBorders/>
            <w:shd w:fill="auto" w:val="clear"/>
          </w:tcPr>
          <w:p>
            <w:pPr>
              <w:pStyle w:val="Normal"/>
              <w:tabs>
                <w:tab w:val="center" w:pos="4419" w:leader="none"/>
                <w:tab w:val="right" w:pos="8838" w:leader="none"/>
              </w:tabs>
              <w:spacing w:lineRule="auto" w:line="240" w:before="0" w:after="0"/>
              <w:jc w:val="center"/>
              <w:rPr>
                <w:rFonts w:ascii="Times New Roman" w:hAnsi="Times New Roman" w:eastAsia="Times New Roman" w:cs="Times New Roman"/>
                <w:b/>
                <w:b/>
                <w:i/>
                <w:i/>
                <w:sz w:val="40"/>
                <w:szCs w:val="40"/>
                <w:lang w:eastAsia="pt-BR"/>
              </w:rPr>
            </w:pPr>
            <w:r>
              <w:rPr>
                <w:rFonts w:eastAsia="Times New Roman" w:cs="Times New Roman" w:ascii="Times New Roman" w:hAnsi="Times New Roman"/>
                <w:b/>
                <w:i/>
                <w:sz w:val="40"/>
                <w:szCs w:val="40"/>
                <w:lang w:eastAsia="pt-BR"/>
              </w:rPr>
              <w:t>Câmara Municipal de Jaguariaíva</w:t>
            </w:r>
          </w:p>
          <w:p>
            <w:pPr>
              <w:pStyle w:val="Normal"/>
              <w:tabs>
                <w:tab w:val="center" w:pos="4419" w:leader="none"/>
                <w:tab w:val="right" w:pos="8838" w:leader="none"/>
              </w:tabs>
              <w:spacing w:lineRule="auto" w:line="240" w:before="0" w:after="0"/>
              <w:jc w:val="center"/>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Estado do Paraná</w:t>
            </w:r>
          </w:p>
          <w:p>
            <w:pPr>
              <w:pStyle w:val="Normal"/>
              <w:tabs>
                <w:tab w:val="center" w:pos="4419" w:leader="none"/>
                <w:tab w:val="right" w:pos="8838" w:leader="none"/>
              </w:tabs>
              <w:spacing w:lineRule="auto" w:line="240" w:before="0" w:after="120"/>
              <w:jc w:val="center"/>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Rua Prefeito Aldo Sampaio Ribas 222</w:t>
            </w:r>
          </w:p>
          <w:p>
            <w:pPr>
              <w:pStyle w:val="Normal"/>
              <w:tabs>
                <w:tab w:val="center" w:pos="4419" w:leader="none"/>
                <w:tab w:val="right" w:pos="8838" w:leader="none"/>
              </w:tabs>
              <w:spacing w:lineRule="auto" w:line="240" w:before="0" w:after="120"/>
              <w:jc w:val="center"/>
              <w:rPr>
                <w:rFonts w:ascii="Times New Roman" w:hAnsi="Times New Roman" w:eastAsia="Times New Roman" w:cs="Times New Roman"/>
                <w:b/>
                <w:b/>
                <w:bCs/>
                <w:i/>
                <w:i/>
                <w:sz w:val="28"/>
                <w:szCs w:val="20"/>
                <w:lang w:eastAsia="pt-BR"/>
              </w:rPr>
            </w:pPr>
            <w:r>
              <w:rPr>
                <w:rFonts w:eastAsia="Times New Roman" w:cs="Times New Roman" w:ascii="Times New Roman" w:hAnsi="Times New Roman"/>
                <w:b/>
                <w:bCs/>
                <w:i/>
                <w:sz w:val="28"/>
                <w:szCs w:val="20"/>
                <w:lang w:eastAsia="pt-BR"/>
              </w:rPr>
              <w:t>SECRETARIA ADMINISTRATIVA</w:t>
            </w:r>
          </w:p>
        </w:tc>
      </w:tr>
    </w:tbl>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Lei nº 60</w:t>
      </w:r>
      <w:r>
        <w:rPr>
          <w:rFonts w:eastAsia="Times New Roman" w:cs="Times New Roman" w:ascii="Times New Roman" w:hAnsi="Times New Roman"/>
          <w:sz w:val="28"/>
          <w:szCs w:val="20"/>
          <w:lang w:eastAsia="pt-BR"/>
        </w:rPr>
        <w:t>1</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 xml:space="preserve">A Câmara Municipal de Jaguariaíva do Estado do Paraná, Decretou e Eu, Prefeito Municipal sanciono a seguinte Lei: - </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Parte Geral – Títulos</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Dos Tributos em Geral</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Sistema Tributário do Município</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1° - Este código dispõe sobre os fatos geradores, a incidência, as alíquotas, o lançamento, a cobrança e a fiscalização dos tributos municipais, e estabelece normas de direito fiscal a eles pertinentes.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2° - Integram o sistema tributário do município.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I – os impostos: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 – sobre a propriedade territorial urbana;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b – sobre a propriedade predial urbana;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c – sobre serviços de qualquer natureza;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II – as taxas: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a – </w:t>
      </w:r>
      <w:r>
        <w:rPr>
          <w:rFonts w:eastAsia="Times New Roman" w:cs="Times New Roman" w:ascii="Times New Roman" w:hAnsi="Times New Roman"/>
          <w:sz w:val="28"/>
          <w:szCs w:val="20"/>
          <w:lang w:eastAsia="pt-BR"/>
        </w:rPr>
        <w:t>decorrentes das atividades do poder de polícia do Município.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B – decorrentes de atos relativos à utilização efetiva ou potencial de serviços públicos municipais específicos e divisíveis.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III – a contribuição de melhoria.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Único – A contribuição de melhorias será disciplinada em lei especial.</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II</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3° - Nenhum tributo será exigido ou alterado, nem qualquer pessoa considerada como contribuinte ou responsável pelo cumprimento de obrigação tributária, se não em virtude deste código ou de lei subsequente.</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Artigo 4° - A lei fiscal entra em vigor na data de sua publicação, salvo as disposições que aumentarem </w:t>
      </w:r>
      <w:r>
        <w:rPr>
          <w:rFonts w:eastAsia="Times New Roman" w:cs="Times New Roman" w:ascii="Times New Roman" w:hAnsi="Times New Roman"/>
          <w:sz w:val="28"/>
          <w:szCs w:val="20"/>
          <w:lang w:eastAsia="pt-BR"/>
        </w:rPr>
        <w:t>tributos que incidam sobre a propriedade predial e territorial urbana, as quais entrarão em vigor a 1° de janeiro do ano seguinte.</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5° - as tabelas de tributos, anexas a este código, serão revistas e publicadas integralmente, pelo Poder Executivo, sempre que houverem sido substancialmente alteradas.</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III</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Administração Fiscal</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Artigo 6° -Todas as funções eferentes a cadastramento, lançamento, cobrança, recolhimento e fiscalização de tributos municipais, aplicarão de sanções por infração de disposição deste código, bem como as medidas de prevenção e repressão as fraudes, serão exercidas pelos órgãos fazendários </w:t>
      </w:r>
      <w:r>
        <w:rPr>
          <w:rFonts w:eastAsia="Times New Roman" w:cs="Times New Roman" w:ascii="Times New Roman" w:hAnsi="Times New Roman"/>
          <w:sz w:val="28"/>
          <w:szCs w:val="20"/>
          <w:lang w:eastAsia="pt-BR"/>
        </w:rPr>
        <w:t>e repartições a eles subordinados, segundo as atribuições constantes da lei de organização dos serviços administrativos e do respectivo regimento.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7° - Os órgãos e servidores incumbidos da cobrança e fiscalização de tributos, sem prejuízo do rigor e vigência indispensáveis ao bom desempenho de suas atividades, darão assistência técnica aos contribuintes, prestando lhes esclarecimentos sobre a interpretação e fiel observância das leis fiscais.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1° - Aos </w:t>
      </w:r>
      <w:r>
        <w:rPr>
          <w:rFonts w:eastAsia="Times New Roman" w:cs="Times New Roman" w:ascii="Times New Roman" w:hAnsi="Times New Roman"/>
          <w:sz w:val="28"/>
          <w:szCs w:val="20"/>
          <w:lang w:eastAsia="pt-BR"/>
        </w:rPr>
        <w:t>contribuintes é facultado reclamar essa assistência aos órgãos responsáveis.</w:t>
      </w:r>
      <w:r>
        <w:rPr>
          <w:rFonts w:eastAsia="Times New Roman" w:cs="Times New Roman" w:ascii="Times New Roman" w:hAnsi="Times New Roman"/>
          <w:sz w:val="28"/>
          <w:szCs w:val="20"/>
          <w:lang w:eastAsia="pt-BR"/>
        </w:rPr>
        <w:t xml:space="preserve"> </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2° - As medidas repressivas só serão tomadas contra aos contribuintes infratores que, dolosamente ou por descaso, lesarem ou tentarem lesar o Fisco.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8° - Os órgãos fazendários farão imprimir e distribuir, sempre que necessário, modelos de declarações e de documentos que devem ser preenchidos obrigatoriamente</w:t>
      </w: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 xml:space="preserve">pelos contribuintes, para efeito de fiscalização, </w:t>
      </w:r>
      <w:r>
        <w:rPr>
          <w:rFonts w:eastAsia="Times New Roman" w:cs="Times New Roman" w:ascii="Times New Roman" w:hAnsi="Times New Roman"/>
          <w:sz w:val="28"/>
          <w:szCs w:val="20"/>
          <w:lang w:eastAsia="pt-BR"/>
        </w:rPr>
        <w:t>lançamento, cobrança e recolhimento de impostos, taxas e contribuição de melhoria.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9º – São autoridades fiscais, para efeito deste código, as que tem jurisdição e competência definidas em leis e regulamentos.</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IV</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Domicílio Fiscal</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Artigo 10° - Considera-se domicílio fiscal do contribuinte ou responsável por obrigação tributária: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I - tratando-se</w:t>
      </w:r>
      <w:r>
        <w:rPr>
          <w:rFonts w:eastAsia="Times New Roman" w:cs="Times New Roman" w:ascii="Times New Roman" w:hAnsi="Times New Roman"/>
          <w:strike w:val="false"/>
          <w:dstrike w:val="false"/>
          <w:sz w:val="28"/>
          <w:szCs w:val="20"/>
          <w:lang w:eastAsia="pt-BR"/>
        </w:rPr>
        <w:t xml:space="preserve"> de pessoa física, o lugar onde habitualmente reside, e, não sendo este conhecido, </w:t>
      </w:r>
      <w:r>
        <w:rPr>
          <w:rFonts w:eastAsia="Times New Roman" w:cs="Times New Roman" w:ascii="Times New Roman" w:hAnsi="Times New Roman"/>
          <w:strike w:val="false"/>
          <w:dstrike w:val="false"/>
          <w:sz w:val="28"/>
          <w:szCs w:val="20"/>
          <w:lang w:eastAsia="pt-BR"/>
        </w:rPr>
        <w:t>o lugar onde se encontra a sede principal de suas atividades ou negócios;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 – tratando-se de pessoa jurídica de direito privado, o local de qualquer de seus estabelecimentos;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III – Tratando-se de pessoas jurídica de direitos públicos o local da sede de qualquer de suas repartições administrativas.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11° - O domicílio fiscal será consignado nas petições, guias e outros documentos que os obrigados dirijam ou devam apresentar a Fazenda Municipal.</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Único – Os inscritos como contribuintes habituais, comunicação com toda mudança de domicílio, no prazo de 15 (quinze) dias, </w:t>
      </w:r>
      <w:r>
        <w:rPr>
          <w:rFonts w:eastAsia="Times New Roman" w:cs="Times New Roman" w:ascii="Times New Roman" w:hAnsi="Times New Roman"/>
          <w:strike w:val="false"/>
          <w:dstrike w:val="false"/>
          <w:sz w:val="28"/>
          <w:szCs w:val="20"/>
          <w:lang w:eastAsia="pt-BR"/>
        </w:rPr>
        <w:t>contados a partir da ocorrência</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Capítulo V</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Das Obrigações Tributárias Acessórias</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12° - Os contribuintes, ou quaisquer responsáveis por tributos, facilitarão, por todos os meios a seu alcance, o lançamento, fiscalização e a cobrança de tributos devidos a Fazenda Municipal, especialmente obrigados 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 – apresentar declarações e guias, e a escriturar em livros próprios os fatores gerados de obrigações tributária, segundo as normas deste código e dos regulamentos fiscais.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 – comunicar a Fazenda Municipal, dentro de 15 (quinze) dias, contados a partir da ocorrência, qualquer alteração capaz de gerar, modificar ou extinguir obrigação tributária.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III – conservar e apresentar ao Fisco, quando solicitado, qualquer documento que, de algum modo, se refira a operações ou situações que constituem fato gerador de obrigação tributária ou que sirva como comprovante de veracidade dos dados consignados em guias e documentos fiscais.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IV – prestar, sempre que solicitado pelas autoridades competentes, informações e esclarecimentos que, a juízo do Fisco, se refiram ao fato gerador de obrigação tributária.; </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Único – Mesmo no caso de isenção, ficam os beneficiários sujeitos  ao cumprimento do disposto neste artigo.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13° - o fisco poderá requisitar a terceiros, a estes ficam obrigados a fornecer-lhe, todas as informações e dados referentes a fatos geradores de obrigação tributaria, para os quais tenham contribuído, ou que devam conhecer, salvo quando, por força de lei, est</w:t>
      </w:r>
      <w:r>
        <w:rPr>
          <w:rFonts w:eastAsia="Times New Roman" w:cs="Times New Roman" w:ascii="Times New Roman" w:hAnsi="Times New Roman"/>
          <w:strike w:val="false"/>
          <w:dstrike w:val="false"/>
          <w:sz w:val="28"/>
          <w:szCs w:val="20"/>
          <w:lang w:eastAsia="pt-BR"/>
        </w:rPr>
        <w:t>ej</w:t>
      </w:r>
      <w:r>
        <w:rPr>
          <w:rFonts w:eastAsia="Times New Roman" w:cs="Times New Roman" w:ascii="Times New Roman" w:hAnsi="Times New Roman"/>
          <w:strike w:val="false"/>
          <w:dstrike w:val="false"/>
          <w:sz w:val="28"/>
          <w:szCs w:val="20"/>
          <w:lang w:eastAsia="pt-BR"/>
        </w:rPr>
        <w:t>am obrigados a guardar sigilo em relação a esses fatos.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1° -As informações obtidas por força deste artigo tem caráter sigiloso e só poderão ser utilizados em defesa dos interesses fiscais da União do Estado, e deste Município.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2° - Constitui falta grave, punível nos termos do Estatuto dos Funcionários Municipais, a divulgação de informações obtidas no exame de contas ou documentos exibidos.</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Capítulo VI</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Do Lançamento</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Artigo 14° - Lançamento é o procedimento privativo da autoridade administrativa municipal destinada a constituir crédito tributário mediante a verificação da ocorrência </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da obrigação tributária correspondente, a determinação da matéria tributável, o calculo do montante devido a identificação do contribuinte e, sendo o caso, a aplicação de penalidade cabível.</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Artigo 15° - O ato do lançamento é vinculado e obrigatório, sob pena de responsabilidade funcional, </w:t>
      </w:r>
      <w:r>
        <w:rPr>
          <w:rFonts w:eastAsia="Times New Roman" w:cs="Times New Roman" w:ascii="Times New Roman" w:hAnsi="Times New Roman"/>
          <w:strike w:val="false"/>
          <w:dstrike w:val="false"/>
          <w:sz w:val="28"/>
          <w:szCs w:val="20"/>
          <w:lang w:eastAsia="pt-BR"/>
        </w:rPr>
        <w:t>ressalvadas as hipóteses de exclusão ou suspensão do crédito tributário prevista neste código.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16° - O lançamento reporta-se a data em que haja surgido a obrigação tributária principal e rege-se pela lei vigente, ainda que posteriormente modificada ou revogada.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1° - Aplica-se ao lançamento a legislação que, posteriormente ao nascimento da obrigação, haja instituído novos critérios de apuração da base de calculo, estabelecidos novos métodos de fiscalização, ampliando os poderes de investigação das autoridades administrativas, ou outorgado maiores garantias e privilégios à Fazenda Municipal, </w:t>
      </w:r>
      <w:r>
        <w:rPr>
          <w:rFonts w:eastAsia="Times New Roman" w:cs="Times New Roman" w:ascii="Times New Roman" w:hAnsi="Times New Roman"/>
          <w:strike w:val="false"/>
          <w:dstrike w:val="false"/>
          <w:sz w:val="28"/>
          <w:szCs w:val="20"/>
          <w:lang w:eastAsia="pt-BR"/>
        </w:rPr>
        <w:t>exceto, no último caso, para atribuir responsabilidades tributária a terceiros.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2° - O disposto neste artigo não se aplica desde a lei tributária respectiva fixe expressamente a data em que o fato gerador deva ser consumado para efeito de lançamento.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17° - Os atos formais relativos ao lançamento dos tributos ficarão a cargo do órgão fazendário competente.</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Único – A omissão ou erro de lançamento não exime o contribuinte do cumprimento da obrigação fiscal, nem de qualquer modo lhe aproveita.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18° - A lançamento efetuar-se com base nos dados constantes do Cadastro Fiscal e nas declarações apresentadas pelos contribuintes, na forma e nas épocas estabelecidas neste código a um regulamento.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Único – as declarações deverão contém todos os elementos e dados necessários ao conhecimento do fato gerador das obrigações tributárias e a verificação do montante do crédito tributário correspondente.</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19° - Far-se-á o lançamento de ofício, com base nos elementos disponíveis.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I – </w:t>
      </w:r>
      <w:r>
        <w:rPr>
          <w:rFonts w:eastAsia="Times New Roman" w:cs="Times New Roman" w:ascii="Times New Roman" w:hAnsi="Times New Roman"/>
          <w:strike w:val="false"/>
          <w:dstrike w:val="false"/>
          <w:sz w:val="28"/>
          <w:szCs w:val="20"/>
          <w:lang w:eastAsia="pt-BR"/>
        </w:rPr>
        <w:t xml:space="preserve">quando o contribuinte ou o responsável não houver prestado </w:t>
      </w:r>
      <w:r>
        <w:rPr>
          <w:rFonts w:eastAsia="Times New Roman" w:cs="Times New Roman" w:ascii="Times New Roman" w:hAnsi="Times New Roman"/>
          <w:strike w:val="false"/>
          <w:dstrike w:val="false"/>
          <w:sz w:val="28"/>
          <w:szCs w:val="20"/>
          <w:lang w:eastAsia="pt-BR"/>
        </w:rPr>
        <w:t>declaração, ou a mesma apresentar-se inexada, por serem falsos ou errôneos os fatos consignados;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w:t>
      </w:r>
      <w:r>
        <w:rPr>
          <w:rFonts w:eastAsia="Times New Roman" w:cs="Times New Roman" w:ascii="Times New Roman" w:hAnsi="Times New Roman"/>
          <w:strike w:val="false"/>
          <w:dstrike w:val="false"/>
          <w:sz w:val="28"/>
          <w:szCs w:val="20"/>
          <w:lang w:eastAsia="pt-BR"/>
        </w:rPr>
        <w:t>I – quando, tendo prestado declaração, o contribuinte ou responsável deixar de atender satisfatoriamente, , no prazo e nas formas legais, pedido de esclarecimento formulado pela autoridade administrativa.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Artigo 20° - Com a finalidade de obter elementos que lhe permitam verificar a exatidão das declarações </w:t>
      </w:r>
      <w:r>
        <w:rPr>
          <w:rFonts w:eastAsia="Times New Roman" w:cs="Times New Roman" w:ascii="Times New Roman" w:hAnsi="Times New Roman"/>
          <w:strike w:val="false"/>
          <w:dstrike w:val="false"/>
          <w:sz w:val="28"/>
          <w:szCs w:val="20"/>
          <w:lang w:eastAsia="pt-BR"/>
        </w:rPr>
        <w:t>apresentadas pelos contribuintes e responsáveis, e de determinar, com precisão, a natureza e o montante dos créditos tributários, a Fazenda Municipal poderá:</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 – exigir, a qualquer tempo, exibição de livros ou comprovantes dos atos e operações que possa constituir fato gerador de obrigações tributarias.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 – fazer inspeções nos locais e estabelecimentos onde se exercerem as atividades sujeitas a obrigações tributarias, ou nos bens ou serviços que constituam matéria tributável.</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III – exigir informação e comunicação escritas ou verbais.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IV – </w:t>
      </w:r>
      <w:r>
        <w:rPr>
          <w:rFonts w:eastAsia="Times New Roman" w:cs="Times New Roman" w:ascii="Times New Roman" w:hAnsi="Times New Roman"/>
          <w:strike w:val="false"/>
          <w:dstrike w:val="false"/>
          <w:sz w:val="28"/>
          <w:szCs w:val="20"/>
          <w:lang w:eastAsia="pt-BR"/>
        </w:rPr>
        <w:t>notificar o contribuinte ou responsável para comparecer as repartições a Fazenda Municipal.</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V – requisitar o auxílio de força pública ou requerer ordem judicial quando indispensável a realização de diligências, inclusive inspeções necessárias ao registro dos locais e estabelecimentos, assim como dos objetos de livros dos tributos e responsáveis.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Único – nos casos a que se refere o número deste artigo, os funcionários lavrarão termo de diligência, do qual constarão especificadamente o s elementos examinados.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21° - O lançamento de suas alterações serão comunicados aos contribuintes por meio de edital afixado na Prefeitura por publicação em jornal local, ou mediante notificação direta, feita por meio de aviso, para servir como guia de pagamento.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Artigo 22° - Far-se-á revisão </w:t>
      </w:r>
      <w:r>
        <w:rPr>
          <w:rFonts w:eastAsia="Times New Roman" w:cs="Times New Roman" w:ascii="Times New Roman" w:hAnsi="Times New Roman"/>
          <w:strike w:val="false"/>
          <w:dstrike w:val="false"/>
          <w:sz w:val="28"/>
          <w:szCs w:val="20"/>
          <w:lang w:eastAsia="pt-BR"/>
        </w:rPr>
        <w:t>do lançamento sempre que se verificar erro na fixação da base tributária, ainda que os elementos indutivos dessa fixação hajam sido apurados diretamente pelo Fisco.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23° - Os lançamentos efetuados de ofício, ou decorrentes de arbitramento, só poderão ser revistos em face da superveniência de prova irrecusável que modifique a base de calculo utilizado no lançamento anterior.</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24° - É facultado aos prepostos da fiscalização o arbitramento de bases tributárias ocorrer sonegação cujo montante não se possa conhecer exatamente.</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25° - O município poderá instituir livros e registros obrigatórios de tributos municipais, a fim de apurar os seus fatos geradores e bases de cálculos.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26° - Independentemente do controle de que trata o artigo anterior, poderá ser adotada a apuração ou verificação diária no próprio local de atividade, durante determinado período, quando houver dúvida sobre a exatidão do que for declarado para efeito dos impostos de competência do Município.</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Capítulo VII</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Da Cobrança e do Recolhimento de Tributos</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27° A cobrança dos tributos far-se-á :</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 – para pagamento na boca do cofre;</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 – por procedimento amigável;</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III – mediante ação executiva;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1° - A cobrança para pagamento a boca do cofre, far-se-á pela forma e nos prazos estabelecidos neste código, nas leis e nos regulamentos fiscais.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2° - Expirado o prazo para pagamento à boca do cofre, ficam os contribuintes sujeitos a multa de 10 % (dez por cento), acrescida de juros de mora de 12% (doze por cento) ao ano, contados por mês ou fração, sobre a importância devida até seu pagamento.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3° - Aos créditos fiscais do Município aplicam-se as normas de correção monetária de tributos e penalidades devido ao Fisco Municipal, nos termos da Lei Federal n°4357 de 16-07-64.</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28° - Nenhum recolhimento de tributo será efetuado sem que se expeça a competente guia ou conhecimentos.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29º – Nos casos de expedição fraudulenta de guias ou conhecimentos, responderão, cível, criminal e administrativamente, os servidores que os houverem subscrito ou fornecido.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30° - Pela cobrança menor de tributos, responde perante a Fazenda Municipal, solidariamente, o servidor culpado cabendo-lhe direito regressivo contra o contribuinte.</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31° - Não se procederá contra o contribuinte que tenha agido ou pago tributo de acordo com decisão administrativa ou judicial transitada em julgado, mesmo que, posteriormente, venha a ser modificada a jurisprudência.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Artigo 32° - </w:t>
      </w:r>
      <w:r>
        <w:rPr>
          <w:rFonts w:eastAsia="Times New Roman" w:cs="Times New Roman" w:ascii="Times New Roman" w:hAnsi="Times New Roman"/>
          <w:strike w:val="false"/>
          <w:dstrike w:val="false"/>
          <w:sz w:val="28"/>
          <w:szCs w:val="20"/>
          <w:lang w:eastAsia="pt-BR"/>
        </w:rPr>
        <w:t>O executivo poderá contratar com estabelecimento de crédito com sede, agência ou escritório no Município, o recebimento de tributos segundo normas especiais baixadas para este fim.</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Capítulo VII</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trike w:val="false"/>
          <w:dstrike w:val="false"/>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                                           </w:t>
      </w:r>
      <w:r>
        <w:rPr>
          <w:rFonts w:eastAsia="Times New Roman" w:cs="Times New Roman" w:ascii="Times New Roman" w:hAnsi="Times New Roman"/>
          <w:strike w:val="false"/>
          <w:dstrike w:val="false"/>
          <w:sz w:val="28"/>
          <w:szCs w:val="20"/>
          <w:lang w:eastAsia="pt-BR"/>
        </w:rPr>
        <w:t>Da Restituição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Artigo 33° - O contribuinte tem direito, independentemente de prévio protesto, a restituição total ou parcial do tributo, seja qual for a modalidade de seu pagamento, nos seguintes casos: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 – cobrança ou pagamento espontâneo de tributo indevido ou maior que o devido em face deste código, ou da natureza ou das circunstâncias materiais do fato gerador efetivamente ocorrido: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 – erro na identificação do contribuinte, na determinação da alíquota aplicável, no calculo do montante do tributo ou na elaboração ou conferência de qualquer documento relativo ao pagamento.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III – reforma, anulação, revogação ou rescisão de decisão condenatória.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Artigo 34° - </w:t>
      </w:r>
      <w:r>
        <w:rPr>
          <w:rFonts w:eastAsia="Times New Roman" w:cs="Times New Roman" w:ascii="Times New Roman" w:hAnsi="Times New Roman"/>
          <w:strike w:val="false"/>
          <w:dstrike w:val="false"/>
          <w:sz w:val="28"/>
          <w:szCs w:val="20"/>
          <w:lang w:eastAsia="pt-BR"/>
        </w:rPr>
        <w:t>A restituição total ou parcial de tributos abrangerá também, na mesma proporção, os juros de mora e as penalidades pecuniárias, salvo as referentes a infrações de caráter formal, que não evam reputar prejudicadas pela causa assecuratória da restituição.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A</w:t>
      </w:r>
      <w:r>
        <w:rPr>
          <w:rFonts w:eastAsia="Times New Roman" w:cs="Times New Roman" w:ascii="Times New Roman" w:hAnsi="Times New Roman"/>
          <w:strike w:val="false"/>
          <w:dstrike w:val="false"/>
          <w:sz w:val="28"/>
          <w:szCs w:val="20"/>
          <w:lang w:eastAsia="pt-BR"/>
        </w:rPr>
        <w:t>rtigo 35° - O direito de Pleitear a restituição de imposto, taxa, contribuição de melhoria ou multa, extingue-se com decorrer do prazo de seis meses, quando o pedido se baseia em simples erro de cálculo, ou de três anos nos demais casos, contados: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 – nas hipóteses previstas no número I e II do artigo 33, da data de extinção de crédito tributário;</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II – na hipótese prevista no número III do artigo 33, da data em que se torna definitiva a decisão administrativa, ou transitar em julgado a decisão judicial que tenha reformado, anulado, revogado ou rescindido a decisão condenatória.</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trike w:val="false"/>
          <w:dstrike w:val="false"/>
          <w:sz w:val="28"/>
          <w:szCs w:val="20"/>
          <w:lang w:eastAsia="pt-BR"/>
        </w:rPr>
        <w:t xml:space="preserve">Artigo 36º – Quando se tratar de tributos e multas indevidamente arrecadados, por motivo de erro cometido pelo Fisco, ou pelo contribuinte, regularmente apurado, a restituição será feita de ofício, mediante determinação da autoridade competente </w:t>
      </w:r>
      <w:r>
        <w:rPr>
          <w:rFonts w:eastAsia="Times New Roman" w:cs="Times New Roman" w:ascii="Times New Roman" w:hAnsi="Times New Roman"/>
          <w:strike w:val="false"/>
          <w:dstrike w:val="false"/>
          <w:sz w:val="28"/>
          <w:szCs w:val="20"/>
          <w:lang w:eastAsia="pt-BR"/>
        </w:rPr>
        <w:t>em representação formulada pelo órgão fazendário e devidamente processadas.</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sz w:val="28"/>
          <w:szCs w:val="20"/>
          <w:lang w:eastAsia="pt-BR"/>
        </w:rPr>
      </w:pPr>
      <w:r>
        <w:rPr/>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Edifício da Prefeitura Municipal de Jaguariaíva em, 15 de dezembro de 1970.</w:t>
      </w:r>
    </w:p>
    <w:p>
      <w:pPr>
        <w:pStyle w:val="Normal"/>
        <w:tabs>
          <w:tab w:val="left" w:pos="3402" w:leader="none"/>
          <w:tab w:val="left" w:pos="3544" w:leader="none"/>
        </w:tabs>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i/>
          <w:iCs/>
          <w:sz w:val="28"/>
          <w:szCs w:val="28"/>
          <w:lang w:eastAsia="pt-BR"/>
        </w:rPr>
        <w:t xml:space="preserve">                                                                      </w:t>
      </w:r>
      <w:r>
        <w:rPr>
          <w:rFonts w:eastAsia="Times New Roman" w:cs="Times New Roman" w:ascii="Times New Roman" w:hAnsi="Times New Roman"/>
          <w:i/>
          <w:iCs/>
          <w:sz w:val="28"/>
          <w:szCs w:val="28"/>
          <w:lang w:eastAsia="pt-BR"/>
        </w:rPr>
        <w:t xml:space="preserve">Mario Fonseca </w:t>
      </w:r>
    </w:p>
    <w:p>
      <w:pPr>
        <w:pStyle w:val="Normal"/>
        <w:tabs>
          <w:tab w:val="left" w:pos="3402" w:leader="none"/>
          <w:tab w:val="left" w:pos="3544" w:leader="none"/>
        </w:tabs>
        <w:spacing w:lineRule="auto" w:line="240" w:before="0" w:after="0"/>
        <w:jc w:val="both"/>
        <w:rPr>
          <w:rFonts w:ascii="Times New Roman" w:hAnsi="Times New Roman" w:eastAsia="Times New Roman" w:cs="Times New Roman"/>
          <w:i/>
          <w:i/>
          <w:iCs/>
          <w:sz w:val="28"/>
          <w:szCs w:val="28"/>
          <w:lang w:eastAsia="pt-BR"/>
        </w:rPr>
      </w:pPr>
      <w:r>
        <w:rPr>
          <w:rFonts w:eastAsia="Times New Roman" w:cs="Times New Roman" w:ascii="Times New Roman" w:hAnsi="Times New Roman"/>
          <w:i/>
          <w:iCs/>
          <w:sz w:val="28"/>
          <w:szCs w:val="28"/>
          <w:lang w:eastAsia="pt-BR"/>
        </w:rPr>
        <w:t xml:space="preserve">                                                                            </w:t>
      </w:r>
      <w:r>
        <w:rPr>
          <w:rFonts w:eastAsia="Times New Roman" w:cs="Times New Roman" w:ascii="Times New Roman" w:hAnsi="Times New Roman"/>
          <w:i/>
          <w:iCs/>
          <w:sz w:val="28"/>
          <w:szCs w:val="28"/>
          <w:lang w:eastAsia="pt-BR"/>
        </w:rPr>
        <w:t>Prefeito Municipal</w:t>
      </w:r>
    </w:p>
    <w:p>
      <w:pPr>
        <w:pStyle w:val="Normal"/>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Monotype Corsiva">
    <w:charset w:val="00"/>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56e"/>
    <w:pPr>
      <w:widowControl/>
      <w:overflowPunct w:val="false"/>
      <w:bidi w:val="0"/>
      <w:spacing w:lineRule="auto" w:line="259" w:before="0" w:after="160"/>
      <w:jc w:val="left"/>
    </w:pPr>
    <w:rPr>
      <w:rFonts w:ascii="Liberation Serif" w:hAnsi="Liberation Serif" w:eastAsia="SimSun" w:cs="Mangal"/>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9c73f1"/>
    <w:rPr>
      <w:rFonts w:ascii="Segoe UI" w:hAnsi="Segoe UI" w:cs="Segoe UI"/>
      <w:sz w:val="18"/>
      <w:szCs w:val="18"/>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alloonText">
    <w:name w:val="Balloon Text"/>
    <w:basedOn w:val="Normal"/>
    <w:link w:val="TextodebaloChar"/>
    <w:uiPriority w:val="99"/>
    <w:semiHidden/>
    <w:unhideWhenUsed/>
    <w:qFormat/>
    <w:rsid w:val="009c73f1"/>
    <w:pPr>
      <w:spacing w:lineRule="auto" w:line="240" w:before="0" w:after="0"/>
    </w:pPr>
    <w:rPr>
      <w:rFonts w:ascii="Segoe UI" w:hAnsi="Segoe UI" w:cs="Segoe UI"/>
      <w:sz w:val="18"/>
      <w:szCs w:val="18"/>
    </w:rPr>
  </w:style>
  <w:style w:type="paragraph" w:styleId="Contedodatabela">
    <w:name w:val="Conteúdo da tabela"/>
    <w:basedOn w:val="Normal"/>
    <w:qFormat/>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5BD1-0596-4227-BA51-0820AD35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LibreOffice/6.0.4.2$Windows_X86_64 LibreOffice_project/9b0d9b32d5dcda91d2f1a96dc04c645c450872bf</Application>
  <Pages>7</Pages>
  <Words>2164</Words>
  <Characters>12150</Characters>
  <CharactersWithSpaces>15263</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2018-03-08T12:41:00Z</dcterms:created>
  <dc:creator>Rose Silva</dc:creator>
  <dc:description/>
  <dc:language>pt-BR</dc:language>
  <cp:lastModifiedBy/>
  <cp:lastPrinted>2018-03-08T12:40:00Z</cp:lastPrinted>
  <dcterms:modified xsi:type="dcterms:W3CDTF">2018-11-22T17:25:02Z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