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718595295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94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Fica o Poder Executivo autorizado a abrir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ao Orçamento municipal aprovado pela Lei nº 566, de 15 de dezembro de 1969,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um crédito Especial no valor de CR$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788,00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Setecentos e oitenta e oito cruzeiros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),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 fim de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atender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o pagamento de Gratificação ao funcionário sujeito ao regime de tempo integral de que trata o artigo 48 da Lei Municipal nº 572.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2º – Para cobertura do crédito que trata o artigo 1º, será utilizado como recurso o Superavit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Financeiro apurado em balanço Patrimonial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do   exercício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anterior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3º – Esta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2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dezembro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LibreOffice/6.0.4.2$Windows_X86_64 LibreOffice_project/9b0d9b32d5dcda91d2f1a96dc04c645c450872bf</Application>
  <Pages>1</Pages>
  <Words>159</Words>
  <Characters>814</Characters>
  <CharactersWithSpaces>1234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2018-11-14T09:27:09Z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