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223382435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58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5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1º – Fica aberto ao Orçamento municipal aprovada pela Lei nº 566, de 15 de dezembro de 1969, um crédito suplementar no valor de CR$ 4.791,83 (Quatro mil setecentos e noventa e um cruzeiros e oitenta e tres centavos) assim distribuídos: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 – 3                                          Gabinete do Prefeito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3.1.3.0 – Serviços de Terceiros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02 – Fretes, Telegramas e Telefones                                    221,07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04 – Publicações                                                                  520,00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16 – Outros Serviços de Terceiros                                       110,00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3.1.4.0 – Encargos Diversos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01 – despesas miúdas de pronto pagamento                          19,21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04 – festividades, Recepção, hospedagens e homenagens     45,00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13 – Outros Encargos                                                             17,76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3.2.0.0 – Transferências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3.2.1.0 – Subvenção Social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3.2.1.4 – Instituição Municipais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01 – Associação dos Municípios do Paraná                            40,00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 – 3 -                                        Secretaria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3.2.0.0 – Transferência Corrente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3.2.3.0 – Transf. de Assist e Previd. Social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3.2.3.3 – Salário Família                                                                        27,89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 – 3 -                                         Lançadoria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3.1.2.0.- Material de Consumo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01 – Material de Expediente                                                 356,40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3.2.0.0 – Transferências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3.2.3.0 – Transferência de Assistência e Previdência Social               33,00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4 – 5 -                                        S.M.T.C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3.0.0.0.-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3.1.1.0 – Pessoal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3.1.1.1 – Pessoal Civil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02 – Despesas variáveis com Pessoal Civil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05 – Auxiliar de Mecânico                                                  125,00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3.1.4.0 – Encargos Diversos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01 – Despesas miúdas de pronto pagamento                         15,84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3.2.0.0 – Transferências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3.2.3.0 – Transferência de Assistência de Previdência Social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3.2.3.3 – Salário Família                                                                       98,00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4 – 9                                      Garagem e Oficina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3.1.1.1 – Pessoal Civil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02 – Despesas variáveis com o Pessoal Civil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02 – Diárias                                                                             34,00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3.1.2.0 – Material de Consumo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04 – Matérias-primas e material para serviços diversos         75,00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3.1.4.0 – Encargos Diversos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01 – Despesas miúdas de pronto pagamento                            3,85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3.2.0.0 – Transferências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3.2.3.0 – Transferência de Assistência e Previdência Social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3.2.3.3 – Salário Família                                                                       56,80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6 – 1                                     Ensino Primário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3.1.2.0 – Material de Consumo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09 – Combustíveis e Lubrificantes                                         50,00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3.1.3.0 – Encargos Diversos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07 – Passagens de qualquer natureza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 – 9 -                                  Serviços Urbanos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3.1.2.0 – Material de Consumo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09 – Combustíveis e Lubrificantes                                       437,68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12 – Peças Assessórios                                                            21,15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 – 2                                  Água e Esgoto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3.2.0.0 – Despesas transferências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3.2.3.0 – Transferência de Assist. E Previd. Social                                28,40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 – 3                                      Limpeza Pública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3.1.0.0 -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3.1.2.0 – Material de Consumo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09 – Combustíveis e Lubrificantes                                        111,36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3.2.0.0 -  Transferências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3.2.3.0 – Transferência de Assist. E Previd. Social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3.2.3.3 – Salário Família                                                                        77,40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 – 4                                     Iluminação Pública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–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3.1.2.0 – Material de Consumo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04 – Matérias primas e materiais p/ serviços diversos              7,00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3.2.0.0 -  Transferência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3.2.3.0 -  Transferência de Assist. E Previd. Social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3.2.3.3 – Salário Família                                                                        44,00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 – 7                              Mercados, Feiras e Matadouros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3.0.0.0 -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3.1.2.0 – Material de Consumo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09 – Combustíveis e Lubrificantes                                         69,15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3.1.3.0 – Serviços de Terceiros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03 – Concertos, conservação e bens móveis e imóveis          18,40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3.2.0.0 -  Transferência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3.2.3.0 -  Transferência de Assist. E Previd. Social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bookmarkStart w:id="0" w:name="__DdeLink__146_3966179119"/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3.2.3.3 – Salário Família </w:t>
      </w:r>
      <w:bookmarkEnd w:id="0"/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                       49,00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 – 8                                      Cemitério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3.0.0.0 -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3.2.0.0 -  Transferência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3.2.3.0 -  Transferência de Assist. E Previd. Social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3.2.3.3 – Salário Família                                                                       33,40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3.2.5.0 – Contribuição d Previd. Social                                                  8,68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 – 9                                    Fábrica de Tubos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3.0.0.0 - Despesas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3.1.0.0 – Despesas de Custeio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3.1.2.0 – Material de Consumo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04 – Matérias primas e materiais p/ serviços diversos       1.959,50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3.2.0.0 -  Transferência Correntes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3.2.3.0 -  Transferência de Assist. E Previd. Social                                66,80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3.2.3.3 – Salário Família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Art° 2º – Para cobertura do crédito que se trata o artigo 1º será utilizado como recurso o Superavit Financeiro apurado em Balanço Patrimonial do exercício anterior.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3º – Está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10  de julho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tru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LibreOffice/6.0.4.2$Windows_X86_64 LibreOffice_project/9b0d9b32d5dcda91d2f1a96dc04c645c450872bf</Application>
  <Pages>4</Pages>
  <Words>641</Words>
  <Characters>3891</Characters>
  <CharactersWithSpaces>6951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2018-11-14T09:11:28Z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